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Quality of Care Is Not Activity Alone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Measure quality of care through outcomes, safety, experience, equity, continuity, and clinical standards—not activity alone.</w:t>
            </w:r>
          </w:p>
        </w:tc>
      </w:tr>
    </w:tbl>
    <w:p>
      <w:pPr>
        <w:pStyle w:val="Heading1"/>
      </w:pPr>
      <w:r>
        <w:t>Why it matters</w:t>
      </w:r>
    </w:p>
    <w:p>
      <w:r>
        <w:t>High activity can coexist with unsafe, inequitable, ineffective, or fragmented care.</w:t>
      </w:r>
    </w:p>
    <w:p>
      <w:pPr>
        <w:pStyle w:val="Heading1"/>
      </w:pPr>
      <w:r>
        <w:t>Illustrative application</w:t>
      </w:r>
    </w:p>
    <w:p>
      <w:r>
        <w:t>A facility combines service volume with outcomes, adverse events, continuity, and patient experience.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