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V7_B_N12 - Health Surveys and Small-Area Evidence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Use health surveys and small-area evidence with valid design, weights, precision, model assumptions, and disclosure safeguards.</w:t>
            </w:r>
          </w:p>
        </w:tc>
      </w:tr>
    </w:tbl>
    <w:p>
      <w:pPr>
        <w:pStyle w:val="Heading1"/>
      </w:pPr>
      <w:r>
        <w:t>Why it matters</w:t>
      </w:r>
    </w:p>
    <w:p>
      <w:r>
        <w:t>Small-area precision can be overstated when design, sparsity, or model dependence is hidden.</w:t>
      </w:r>
    </w:p>
    <w:p>
      <w:pPr>
        <w:pStyle w:val="Heading1"/>
      </w:pPr>
      <w:r>
        <w:t>Illustrative application</w:t>
      </w:r>
    </w:p>
    <w:p>
      <w:r>
        <w:t>District estimates combine survey design evidence with transparent uncertainty and suppression rules.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V7_B_N12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