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V7_B_N12 - Health Surveys and Small-Area Evidence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Compare weighted and unweighted prevalence.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effective sample size.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model-assisted release safeguards.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Weighting represents unequal selection and response; disagreement is a diagnostic, not a reason to discard weights.</w:t>
      </w:r>
    </w:p>
    <w:p>
      <w:pPr>
        <w:pStyle w:val="Heading2"/>
      </w:pPr>
      <w:r>
        <w:t>Solution 2</w:t>
      </w:r>
    </w:p>
    <w:p>
      <w:r>
        <w:t>Use squared-weight concentration as a simple diagnostic and the full design for official variance.</w:t>
      </w:r>
    </w:p>
    <w:p>
      <w:pPr>
        <w:pStyle w:val="Heading2"/>
      </w:pPr>
      <w:r>
        <w:t>Solution 3</w:t>
      </w:r>
    </w:p>
    <w:p>
      <w:r>
        <w:t>Pre-specify models, validate domains, publish uncertainty, protect confidentiality, and retain official release review.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