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V7_B_N14 - Evaluate What Changed in Health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PU-B07-C34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Evaluate health change using explicit counterfactual logic, implementation evidence, equity, uncertainty, and decision relevance.</w:t>
            </w:r>
          </w:p>
        </w:tc>
      </w:tr>
    </w:tbl>
    <w:p>
      <w:pPr>
        <w:pStyle w:val="Heading1"/>
      </w:pPr>
      <w:r>
        <w:t>Why it matters</w:t>
      </w:r>
    </w:p>
    <w:p>
      <w:r>
        <w:t>Before-and-after change alone cannot establish causation or guide scale-up safely.</w:t>
      </w:r>
    </w:p>
    <w:p>
      <w:pPr>
        <w:pStyle w:val="Heading1"/>
      </w:pPr>
      <w:r>
        <w:t>Illustrative application</w:t>
      </w:r>
    </w:p>
    <w:p>
      <w:r>
        <w:t>A programme assessment separates observed change from plausible programme contribution.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V7_B_N14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