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V7_B_N14 - Evaluate What Changed in Health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V7_B_N14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State the identifying assumption.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Test differential attrition.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Separate impact and implementation failure.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For difference-in-differences, untreated potential outcomes must follow comparable trends absent the programme.</w:t>
      </w:r>
    </w:p>
    <w:p>
      <w:pPr>
        <w:pStyle w:val="Heading2"/>
      </w:pPr>
      <w:r>
        <w:t>Solution 2</w:t>
      </w:r>
    </w:p>
    <w:p>
      <w:r>
        <w:t>Compare attrition by group and baseline risk and bound missing outcomes.</w:t>
      </w:r>
    </w:p>
    <w:p>
      <w:pPr>
        <w:pStyle w:val="Heading2"/>
      </w:pPr>
      <w:r>
        <w:t>Solution 3</w:t>
      </w:r>
    </w:p>
    <w:p>
      <w:r>
        <w:t>A null effect with low fidelity differs from a well-implemented ineffective intervention and calls for a different decision.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V7_B_N14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