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V7_B_N15 - National Health Intelligence Capstone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Integrate governed health evidence, surveillance, capacity, equity, evaluation, referrals, and accountability into a national decision product.</w:t>
            </w:r>
          </w:p>
        </w:tc>
      </w:tr>
    </w:tbl>
    <w:p>
      <w:pPr>
        <w:pStyle w:val="Heading1"/>
      </w:pPr>
      <w:r>
        <w:t>Why it matters</w:t>
      </w:r>
    </w:p>
    <w:p>
      <w:r>
        <w:t>Integration without governance can centralize error and weaken clinical and public accountability.</w:t>
      </w:r>
    </w:p>
    <w:p>
      <w:pPr>
        <w:pStyle w:val="Heading1"/>
      </w:pPr>
      <w:r>
        <w:t>Illustrative application</w:t>
      </w:r>
    </w:p>
    <w:p>
      <w:r>
        <w:t>A national brief connects indicators, risks, resources, uncertainty, and authorized actions.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V7_B_N15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