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Attendance and Dropout Early-Warning Support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PU-B07-C36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Use attendance and dropout early-warning evidence to organize timely, proportionate support while preserving uncertainty, dignity, due process, and accountable educational authority.</w:t>
            </w:r>
          </w:p>
        </w:tc>
      </w:tr>
    </w:tbl>
    <w:p>
      <w:pPr>
        <w:pStyle w:val="Heading1"/>
      </w:pPr>
      <w:r>
        <w:t>Why it matters</w:t>
      </w:r>
    </w:p>
    <w:p>
      <w:r>
        <w:t>A risk score can stigmatize learners or trigger punitive action when context, uncertainty, and human review are missing.</w:t>
      </w:r>
    </w:p>
    <w:p>
      <w:pPr>
        <w:pStyle w:val="Heading1"/>
      </w:pPr>
      <w:r>
        <w:t>Illustrative application</w:t>
      </w:r>
    </w:p>
    <w:p>
      <w:r>
        <w:t>A school team reviews sustained absence with contextual evidence before offering support through an authorized pathway.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V7_C_N01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