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CANONICAL LESSON</w:t>
      </w:r>
    </w:p>
    <w:p>
      <w:pPr>
        <w:pStyle w:val="Title"/>
      </w:pPr>
      <w:r>
        <w:t>Attendance and Dropout Early-Warning Support</w:t>
      </w:r>
    </w:p>
    <w:p>
      <w:pPr>
        <w:spacing w:after="280"/>
      </w:pPr>
      <w:r>
        <w:rPr>
          <w:color w:val="5B6573"/>
          <w:sz w:val="26"/>
        </w:rPr>
        <w:t>Decision-centred foundations for accountable sector intelligence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PU-B07-C36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V7_C_N01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660"/>
          </w:tcPr>
          <w:p>
            <w:r>
              <w:t>Controlled educational draft v0.1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 boundary</w:t>
            </w:r>
          </w:p>
        </w:tc>
        <w:tc>
          <w:tcPr>
            <w:tcW w:type="dxa" w:w="6660"/>
          </w:tcPr>
          <w:p>
            <w:r>
              <w:t>Synthetic instructional data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Central decision: </w:t>
            </w:r>
            <w:r>
              <w:t>Use attendance and dropout early-warning evidence to organize timely, proportionate support while preserving uncertainty, dignity, due process, and accountable educational authority.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Heading1"/>
      </w:pPr>
      <w:r>
        <w:t>Why this matters</w:t>
      </w:r>
    </w:p>
    <w:p>
      <w:r>
        <w:t>A risk score can stigmatize learners or trigger punitive action when context, uncertainty, and human review are missing.</w:t>
      </w:r>
    </w:p>
    <w:p>
      <w:r>
        <w:t>The analytical workflow is useful only when evidence, uncertainty, authority, and action are connected explicitly. The model supports professional judgement; it does not replace accountable institutional authority.</w:t>
      </w:r>
    </w:p>
    <w:p>
      <w:pPr>
        <w:pStyle w:val="Heading1"/>
      </w:pPr>
      <w:r>
        <w:t>Worked cross-sector example</w:t>
      </w:r>
    </w:p>
    <w:p>
      <w:r>
        <w:t>A school team reviews sustained absence with contextual evidence before offering support through an authorized pathway.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Boundary: </w:t>
            </w:r>
            <w:r>
              <w:t>The example supports learning and review. It does not constitute an official statistic, eligibility determination, enforcement action, clinical judgement, or operational authorization.</w:t>
            </w:r>
          </w:p>
        </w:tc>
      </w:tr>
    </w:tbl>
    <w:p>
      <w:pPr>
        <w:pStyle w:val="Heading1"/>
      </w:pPr>
      <w:r>
        <w:t>Practice and reflection</w:t>
      </w:r>
    </w:p>
    <w:p>
      <w:pPr>
        <w:pStyle w:val="ListBullet"/>
      </w:pPr>
      <w:r>
        <w:t>1.</w:t>
      </w:r>
    </w:p>
    <w:p>
      <w:pPr>
        <w:pStyle w:val="ListBullet"/>
      </w:pPr>
      <w:r>
        <w:t>Replace the top-three rule with different capacities by school.</w:t>
      </w:r>
    </w:p>
    <w:p>
      <w:pPr>
        <w:pStyle w:val="ListBullet"/>
      </w:pPr>
      <w:r>
        <w:t>2.</w:t>
      </w:r>
    </w:p>
    <w:p>
      <w:pPr>
        <w:pStyle w:val="ListBullet"/>
      </w:pPr>
      <w:r>
        <w:t>Add a data-latency abstention rule.</w:t>
      </w:r>
    </w:p>
    <w:p>
      <w:pPr>
        <w:pStyle w:val="ListBullet"/>
      </w:pPr>
      <w:r>
        <w:t>3.</w:t>
      </w:r>
    </w:p>
    <w:p>
      <w:pPr>
        <w:pStyle w:val="ListBullet"/>
      </w:pPr>
      <w:r>
        <w:t>Explain why support_contact must not be interpreted as successful intervention.</w:t>
      </w:r>
    </w:p>
    <w:p>
      <w:pPr>
        <w:pStyle w:val="ListBullet"/>
      </w:pPr>
      <w:r>
        <w:t>4.</w:t>
      </w:r>
    </w:p>
    <w:p>
      <w:pPr>
        <w:pStyle w:val="ListBullet"/>
      </w:pPr>
      <w:r>
        <w:t>Write a retention and deletion schedule.</w:t>
      </w:r>
    </w:p>
    <w:p>
      <w:pPr>
        <w:pStyle w:val="Heading1"/>
      </w:pPr>
      <w:r>
        <w:t>Answer key</w:t>
      </w:r>
    </w:p>
    <w:p>
      <w:pPr>
        <w:pStyle w:val="Heading1"/>
      </w:pPr>
      <w:r>
        <w:t>Operational readiness checklist</w:t>
      </w:r>
    </w:p>
    <w:p>
      <w:pPr>
        <w:pStyle w:val="ListBullet"/>
      </w:pPr>
      <w:r>
        <w:t>Purpose and decision owner are named.</w:t>
      </w:r>
    </w:p>
    <w:p>
      <w:pPr>
        <w:pStyle w:val="ListBullet"/>
      </w:pPr>
      <w:r>
        <w:t>Evidence definitions, provenance, and lawful access are documented.</w:t>
      </w:r>
    </w:p>
    <w:p>
      <w:pPr>
        <w:pStyle w:val="ListBullet"/>
      </w:pPr>
      <w:r>
        <w:t>Uncertainty and abstention are visible.</w:t>
      </w:r>
    </w:p>
    <w:p>
      <w:pPr>
        <w:pStyle w:val="ListBullet"/>
      </w:pPr>
      <w:r>
        <w:t>Human review, escalation, monitoring, incident response, and retirement are assigned.</w:t>
      </w:r>
    </w:p>
    <w:p>
      <w:pPr>
        <w:pStyle w:val="ListBullet"/>
      </w:pPr>
      <w:r>
        <w:t>Equity, accessibility, security, and sector-specific approval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