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Teachers Where Learners Need Them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Plan teacher deployment using enrolment, workload, subject needs, geography, equity, feasibility, and transparent institutional authority.</w:t>
            </w:r>
          </w:p>
        </w:tc>
      </w:tr>
    </w:tbl>
    <w:p>
      <w:pPr>
        <w:pStyle w:val="Heading1"/>
      </w:pPr>
      <w:r>
        <w:t>Why it matters</w:t>
      </w:r>
    </w:p>
    <w:p>
      <w:r>
        <w:t>Mechanical allocation can deepen inequity, ignore local constraints, and treat teachers as interchangeable units.</w:t>
      </w:r>
    </w:p>
    <w:p>
      <w:pPr>
        <w:pStyle w:val="Heading1"/>
      </w:pPr>
      <w:r>
        <w:t>Illustrative application</w:t>
      </w:r>
    </w:p>
    <w:p>
      <w:r>
        <w:t>A district compares learner demand and subject shortages before proposing feasible teacher reallocation.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