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Teachers Where Learners Need Them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subject-specific shortages.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Use full-time equivalents.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housing/transport constraints.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PTR improvement is not proof of learning impact.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Build school-subject-grade requirements and qualification-compatible supply.</w:t>
      </w:r>
    </w:p>
    <w:p>
      <w:pPr>
        <w:pStyle w:val="Heading2"/>
      </w:pPr>
      <w:r>
        <w:t>Solution 2</w:t>
      </w:r>
    </w:p>
    <w:p>
      <w:r>
        <w:t>Replace headcounts with contracted/available teaching time and document absence assumptions.</w:t>
      </w:r>
    </w:p>
    <w:p>
      <w:pPr>
        <w:pStyle w:val="Heading2"/>
      </w:pPr>
      <w:r>
        <w:t>Solution 3</w:t>
      </w:r>
    </w:p>
    <w:p>
      <w:r>
        <w:t>Model feasibility and costs without penalizing underserved schools.</w:t>
      </w:r>
    </w:p>
    <w:p>
      <w:pPr>
        <w:pStyle w:val="Heading2"/>
      </w:pPr>
      <w:r>
        <w:t>Solution 4</w:t>
      </w:r>
    </w:p>
    <w:p>
      <w:r>
        <w:t>Learning depends on pedagogy, attendance, materials, class composition, leadership, and implementation; causal impact needs evaluation.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