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Teachers Where Learners Need Them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V7_C_N02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Plan teacher deployment using enrolment, workload, subject needs, geography, equity, feasibility, and transparent institutional authority.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Mechanical allocation can deepen inequity, ignore local constraints, and treat teachers as interchangeable units.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district compares learner demand and subject shortages before proposing feasible teacher reallocation.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subject-specific shortages.</w:t>
      </w:r>
    </w:p>
    <w:p>
      <w:pPr>
        <w:pStyle w:val="ListBullet"/>
      </w:pPr>
      <w:r>
        <w:t>2.</w:t>
      </w:r>
    </w:p>
    <w:p>
      <w:pPr>
        <w:pStyle w:val="ListBullet"/>
      </w:pPr>
      <w:r>
        <w:t>Use full-time equivalents.</w:t>
      </w:r>
    </w:p>
    <w:p>
      <w:pPr>
        <w:pStyle w:val="ListBullet"/>
      </w:pPr>
      <w:r>
        <w:t>3.</w:t>
      </w:r>
    </w:p>
    <w:p>
      <w:pPr>
        <w:pStyle w:val="ListBullet"/>
      </w:pPr>
      <w:r>
        <w:t>Add housing/transport constraints.</w:t>
      </w:r>
    </w:p>
    <w:p>
      <w:pPr>
        <w:pStyle w:val="ListBullet"/>
      </w:pPr>
      <w:r>
        <w:t>4.</w:t>
      </w:r>
    </w:p>
    <w:p>
      <w:pPr>
        <w:pStyle w:val="ListBullet"/>
      </w:pPr>
      <w:r>
        <w:t>Explain why PTR improvement is not proof of learning impact.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Build school-subject-grade requirements and qualification-compatible supply.</w:t>
      </w:r>
    </w:p>
    <w:p>
      <w:pPr>
        <w:pStyle w:val="ListBullet"/>
      </w:pPr>
      <w:r>
        <w:t>2.</w:t>
      </w:r>
    </w:p>
    <w:p>
      <w:pPr>
        <w:pStyle w:val="ListBullet"/>
      </w:pPr>
      <w:r>
        <w:t>Replace headcounts with contracted/available teaching time and document absence assumptions.</w:t>
      </w:r>
    </w:p>
    <w:p>
      <w:pPr>
        <w:pStyle w:val="ListBullet"/>
      </w:pPr>
      <w:r>
        <w:t>3.</w:t>
      </w:r>
    </w:p>
    <w:p>
      <w:pPr>
        <w:pStyle w:val="ListBullet"/>
      </w:pPr>
      <w:r>
        <w:t>Model feasibility and costs without penalizing underserved schools.</w:t>
      </w:r>
    </w:p>
    <w:p>
      <w:pPr>
        <w:pStyle w:val="ListBullet"/>
      </w:pPr>
      <w:r>
        <w:t>4.</w:t>
      </w:r>
    </w:p>
    <w:p>
      <w:pPr>
        <w:pStyle w:val="ListBullet"/>
      </w:pPr>
      <w:r>
        <w:t>Learning depends on pedagogy, attendance, materials, class composition, leadership, and implementation; causal impact needs evaluation.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