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Learning Gaps to Proportionate Support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PU-B07-C38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Translate learning-assessment evidence into proportionate support without labeling learners, overstating precision, or replacing professional judgement.</w:t>
            </w:r>
          </w:p>
        </w:tc>
      </w:tr>
    </w:tbl>
    <w:p>
      <w:pPr>
        <w:pStyle w:val="Heading1"/>
      </w:pPr>
      <w:r>
        <w:t>Why it matters</w:t>
      </w:r>
    </w:p>
    <w:p>
      <w:r>
        <w:t>Scores alone can misclassify learners and turn formative support into exclusion or tracking.</w:t>
      </w:r>
    </w:p>
    <w:p>
      <w:pPr>
        <w:pStyle w:val="Heading1"/>
      </w:pPr>
      <w:r>
        <w:t>Illustrative application</w:t>
      </w:r>
    </w:p>
    <w:p>
      <w:r>
        <w:t>Teachers combine assessment patterns with classroom evidence to select and monitor a targeted support strategy.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V7_C_N03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