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Learning Gaps to Proportionate Support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Translate learning-assessment evidence into proportionate support without labeling learners, overstating precision, or replacing professional judgement.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Scores alone can misclassify learners and turn formative support into exclusion or tracking.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Teachers combine assessment patterns with classroom evidence to select and monitor a targeted support strategy.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Add plausible values or replicate weights conceptually.</w:t>
      </w:r>
    </w:p>
    <w:p>
      <w:pPr>
        <w:pStyle w:val="ListBullet"/>
      </w:pPr>
      <w:r>
        <w:t>2.</w:t>
      </w:r>
    </w:p>
    <w:p>
      <w:pPr>
        <w:pStyle w:val="ListBullet"/>
      </w:pPr>
      <w:r>
        <w:t>Compare mean and proficiency reporting.</w:t>
      </w:r>
    </w:p>
    <w:p>
      <w:pPr>
        <w:pStyle w:val="ListBullet"/>
      </w:pPr>
      <w:r>
        <w:t>3.</w:t>
      </w:r>
    </w:p>
    <w:p>
      <w:pPr>
        <w:pStyle w:val="ListBullet"/>
      </w:pPr>
      <w:r>
        <w:t>Add language/accommodation checks.</w:t>
      </w:r>
    </w:p>
    <w:p>
      <w:pPr>
        <w:pStyle w:val="ListBullet"/>
      </w:pPr>
      <w:r>
        <w:t>4.</w:t>
      </w:r>
    </w:p>
    <w:p>
      <w:pPr>
        <w:pStyle w:val="ListBullet"/>
      </w:pPr>
      <w:r>
        <w:t>Explain why a flagged school should not be sanctioned.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Combine estimates across plausible values and use the survey variance method specified by the assessment design.</w:t>
      </w:r>
    </w:p>
    <w:p>
      <w:pPr>
        <w:pStyle w:val="ListBullet"/>
      </w:pPr>
      <w:r>
        <w:t>2.</w:t>
      </w:r>
    </w:p>
    <w:p>
      <w:pPr>
        <w:pStyle w:val="ListBullet"/>
      </w:pPr>
      <w:r>
        <w:t>Means and threshold shares answer different questions and both have uncertainty.</w:t>
      </w:r>
    </w:p>
    <w:p>
      <w:pPr>
        <w:pStyle w:val="ListBullet"/>
      </w:pPr>
      <w:r>
        <w:t>3.</w:t>
      </w:r>
    </w:p>
    <w:p>
      <w:pPr>
        <w:pStyle w:val="ListBullet"/>
      </w:pPr>
      <w:r>
        <w:t>Verify construct comparability, accessibility, sample size, and disclosure.</w:t>
      </w:r>
    </w:p>
    <w:p>
      <w:pPr>
        <w:pStyle w:val="ListBullet"/>
      </w:pPr>
      <w:r>
        <w:t>4.</w:t>
      </w:r>
    </w:p>
    <w:p>
      <w:pPr>
        <w:pStyle w:val="ListBullet"/>
      </w:pPr>
      <w:r>
        <w:t>Results may reflect sampling error, intake, resources, attendance, language, accessibility, and implementation; the output is diagnostic support evidence, not proof of misconduct.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