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Plan Seats Before Crowding Arrives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Plan school seats using demographic change, enrolment flows, accessibility, geography, uncertainty, cost, and accountable public authority.</w:t>
            </w:r>
          </w:p>
        </w:tc>
      </w:tr>
    </w:tbl>
    <w:p>
      <w:pPr>
        <w:pStyle w:val="Heading1"/>
      </w:pPr>
      <w:r>
        <w:t>Why it matters</w:t>
      </w:r>
    </w:p>
    <w:p>
      <w:r>
        <w:t>Single-point forecasts can create stranded capacity, overcrowding, or unequal access when migration and uncertainty are ignored.</w:t>
      </w:r>
    </w:p>
    <w:p>
      <w:pPr>
        <w:pStyle w:val="Heading1"/>
      </w:pPr>
      <w:r>
        <w:t>Illustrative application</w:t>
      </w:r>
    </w:p>
    <w:p>
      <w:r>
        <w:t>A planning team tests demand scenarios before expanding classrooms or changing catchment arrangements.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V7_C_N04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