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Plan Seats Before Crowding Arrives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school-level accessibility.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Model construction lead time.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a surplus does not justify closure.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travel time, safety, disability access, language, gender, and service availability.</w:t>
      </w:r>
    </w:p>
    <w:p>
      <w:pPr>
        <w:pStyle w:val="Heading2"/>
      </w:pPr>
      <w:r>
        <w:t>Solution 2</w:t>
      </w:r>
    </w:p>
    <w:p>
      <w:r>
        <w:t>Forecast demand at commissioning date and include land, design, procurement, construction, staffing, and maintenance gates.</w:t>
      </w:r>
    </w:p>
    <w:p>
      <w:pPr>
        <w:pStyle w:val="Heading2"/>
      </w:pPr>
      <w:r>
        <w:t>Solution 3</w:t>
      </w:r>
    </w:p>
    <w:p>
      <w:r>
        <w:t>Seats may be unusable, distant, mismatched by grade/shift, or needed for resilience and class-size goals.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