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Put Learning Inputs Where They Can Be Used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Allocate textbooks and learning inputs using verified demand, curriculum fit, delivery capacity, utilization, equity, and auditable follow-through.</w:t>
            </w:r>
          </w:p>
        </w:tc>
      </w:tr>
    </w:tbl>
    <w:p>
      <w:pPr>
        <w:pStyle w:val="Heading1"/>
      </w:pPr>
      <w:r>
        <w:t>Why it matters</w:t>
      </w:r>
    </w:p>
    <w:p>
      <w:r>
        <w:t>Procurement counts can appear successful while materials remain mismatched, delayed, inaccessible, or unused.</w:t>
      </w:r>
    </w:p>
    <w:p>
      <w:pPr>
        <w:pStyle w:val="Heading1"/>
      </w:pPr>
      <w:r>
        <w:t>Illustrative application</w:t>
      </w:r>
    </w:p>
    <w:p>
      <w:r>
        <w:t>A district reconciles enrolment, stock, curriculum, and delivery evidence before authorizing redistribution.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