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Put Learning Inputs Where They Can Be Used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Allocate textbooks and learning inputs using verified demand, curriculum fit, delivery capacity, utilization, equity, and auditable follow-through.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Procurement counts can appear successful while materials remain mismatched, delayed, inaccessible, or unused.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district reconciles enrolment, stock, curriculum, and delivery evidence before authorizing redistribution.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language/grade titles.</w:t>
      </w:r>
    </w:p>
    <w:p>
      <w:pPr>
        <w:pStyle w:val="ListBullet"/>
      </w:pPr>
      <w:r>
        <w:t>2.</w:t>
      </w:r>
    </w:p>
    <w:p>
      <w:pPr>
        <w:pStyle w:val="ListBullet"/>
      </w:pPr>
      <w:r>
        <w:t>Add pipeline orders.</w:t>
      </w:r>
    </w:p>
    <w:p>
      <w:pPr>
        <w:pStyle w:val="ListBullet"/>
      </w:pPr>
      <w:r>
        <w:t>3.</w:t>
      </w:r>
    </w:p>
    <w:p>
      <w:pPr>
        <w:pStyle w:val="ListBullet"/>
      </w:pPr>
      <w:r>
        <w:t>Audit equity after delivery.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Allocate only within compatible title-language-grade-edition cells.</w:t>
      </w:r>
    </w:p>
    <w:p>
      <w:pPr>
        <w:pStyle w:val="ListBullet"/>
      </w:pPr>
      <w:r>
        <w:t>2.</w:t>
      </w:r>
    </w:p>
    <w:p>
      <w:pPr>
        <w:pStyle w:val="ListBullet"/>
      </w:pPr>
      <w:r>
        <w:t>Subtract confirmed usable pipeline with arrival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Compare requested, allocated, dispatched, received, usable, and learner-access ratios by geography and relevant groups.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