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Fix the School Data Before Judging the School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Repair and qualify school data before using it to compare performance, allocate resources, escalate concerns, or judge institutions.</w:t>
            </w:r>
          </w:p>
        </w:tc>
      </w:tr>
    </w:tbl>
    <w:p>
      <w:pPr>
        <w:pStyle w:val="Heading1"/>
      </w:pPr>
      <w:r>
        <w:t>Why it matters</w:t>
      </w:r>
    </w:p>
    <w:p>
      <w:r>
        <w:t>Unrepaired administrative data can convert reporting failures into false claims about schools, teachers, or learners.</w:t>
      </w:r>
    </w:p>
    <w:p>
      <w:pPr>
        <w:pStyle w:val="Heading1"/>
      </w:pPr>
      <w:r>
        <w:t>Illustrative application</w:t>
      </w:r>
    </w:p>
    <w:p>
      <w:r>
        <w:t>An EMIS review separates missing, late, duplicated, and structurally implausible records before producing school indicators.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V7_C_N06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