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Fix the School Data Before Judging the School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V7_C_N06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Repair and qualify school data before using it to compare performance, allocate resources, escalate concerns, or judge institutions.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Unrepaired administrative data can convert reporting failures into false claims about schools, teachers, or learners.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An EMIS review separates missing, late, duplicated, and structurally implausible records before producing school indicators.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Detect duplicate schools.</w:t>
      </w:r>
    </w:p>
    <w:p>
      <w:pPr>
        <w:pStyle w:val="ListBullet"/>
      </w:pPr>
      <w:r>
        <w:t>2.</w:t>
      </w:r>
    </w:p>
    <w:p>
      <w:pPr>
        <w:pStyle w:val="ListBullet"/>
      </w:pPr>
      <w:r>
        <w:t>Version the school registry.</w:t>
      </w:r>
    </w:p>
    <w:p>
      <w:pPr>
        <w:pStyle w:val="ListBullet"/>
      </w:pPr>
      <w:r>
        <w:t>3.</w:t>
      </w:r>
    </w:p>
    <w:p>
      <w:pPr>
        <w:pStyle w:val="ListBullet"/>
      </w:pPr>
      <w:r>
        <w:t>Explain why outliers are not misconduct.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Compare identifiers, coordinates, names, ownership, and levels, then resolve with registry owners.</w:t>
      </w:r>
    </w:p>
    <w:p>
      <w:pPr>
        <w:pStyle w:val="ListBullet"/>
      </w:pPr>
      <w:r>
        <w:t>2.</w:t>
      </w:r>
    </w:p>
    <w:p>
      <w:pPr>
        <w:pStyle w:val="ListBullet"/>
      </w:pPr>
      <w:r>
        <w:t>Preserve effective dates, mergers, splits, closures, reopenings, and identifier lineage.</w:t>
      </w:r>
    </w:p>
    <w:p>
      <w:pPr>
        <w:pStyle w:val="ListBullet"/>
      </w:pPr>
      <w:r>
        <w:t>3.</w:t>
      </w:r>
    </w:p>
    <w:p>
      <w:pPr>
        <w:pStyle w:val="ListBullet"/>
      </w:pPr>
      <w:r>
        <w:t>Extreme values can reflect real crowding, inclusion, reporting scope, timing, or errors and require verification.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