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Equity Is a Distribution, Not an Average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Assess education equity through distributions, intersectional groups, access, participation, learning, resources, and uncertainty—not averages alone.</w:t>
            </w:r>
          </w:p>
        </w:tc>
      </w:tr>
    </w:tbl>
    <w:p>
      <w:pPr>
        <w:pStyle w:val="Heading1"/>
      </w:pPr>
      <w:r>
        <w:t>Why it matters</w:t>
      </w:r>
    </w:p>
    <w:p>
      <w:r>
        <w:t>National or district averages can conceal severe disadvantage and direct resources away from learners facing the greatest barriers.</w:t>
      </w:r>
    </w:p>
    <w:p>
      <w:pPr>
        <w:pStyle w:val="Heading1"/>
      </w:pPr>
      <w:r>
        <w:t>Illustrative application</w:t>
      </w:r>
    </w:p>
    <w:p>
      <w:r>
        <w:t>A district compares learning and access distributions across location, disability, gender, and socioeconomic groups.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V7_C_N07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