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Equity Is a Distribution, Not an Average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Assess education equity through distributions, intersectional groups, access, participation, learning, resources, and uncertainty—not averages alone.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National or district averages can conceal severe disadvantage and direct resources away from learners facing the greatest barriers.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district compares learning and access distributions across location, disability, gender, and socioeconomic groups.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survey weights.</w:t>
      </w:r>
    </w:p>
    <w:p>
      <w:pPr>
        <w:pStyle w:val="ListBullet"/>
      </w:pPr>
      <w:r>
        <w:t>2.</w:t>
      </w:r>
    </w:p>
    <w:p>
      <w:pPr>
        <w:pStyle w:val="ListBullet"/>
      </w:pPr>
      <w:r>
        <w:t>Compare parity and level.</w:t>
      </w:r>
    </w:p>
    <w:p>
      <w:pPr>
        <w:pStyle w:val="ListBullet"/>
      </w:pPr>
      <w:r>
        <w:t>3.</w:t>
      </w:r>
    </w:p>
    <w:p>
      <w:pPr>
        <w:pStyle w:val="ListBullet"/>
      </w:pPr>
      <w:r>
        <w:t>Protect intersectional cells.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Estimate with design weights and design-consistent variance.</w:t>
      </w:r>
    </w:p>
    <w:p>
      <w:pPr>
        <w:pStyle w:val="ListBullet"/>
      </w:pPr>
      <w:r>
        <w:t>2.</w:t>
      </w:r>
    </w:p>
    <w:p>
      <w:pPr>
        <w:pStyle w:val="ListBullet"/>
      </w:pPr>
      <w:r>
        <w:t>Parity can coexist with equally poor outcomes; report both group ratios and absolute levels.</w:t>
      </w:r>
    </w:p>
    <w:p>
      <w:pPr>
        <w:pStyle w:val="ListBullet"/>
      </w:pPr>
      <w:r>
        <w:t>3.</w:t>
      </w:r>
    </w:p>
    <w:p>
      <w:pPr>
        <w:pStyle w:val="ListBullet"/>
      </w:pPr>
      <w:r>
        <w:t>Apply minimum counts, controlled aggregation, secure access, purpose limitation, and community-sensitive interpretation.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