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From School to Work Without Chasing Yesterday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PU-B07-C43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Align school-to-work intelligence with changing labour demand, transferable skills, transition evidence, uncertainty, and accountable education and labour institutions.</w:t>
            </w:r>
          </w:p>
        </w:tc>
      </w:tr>
    </w:tbl>
    <w:p>
      <w:pPr>
        <w:pStyle w:val="Heading1"/>
      </w:pPr>
      <w:r>
        <w:t>Why it matters</w:t>
      </w:r>
    </w:p>
    <w:p>
      <w:r>
        <w:t>Training against yesterday’s vacancies can lock learners into obsolete pathways and overstate the certainty of labour-market forecasts.</w:t>
      </w:r>
    </w:p>
    <w:p>
      <w:pPr>
        <w:pStyle w:val="Heading1"/>
      </w:pPr>
      <w:r>
        <w:t>Illustrative application</w:t>
      </w:r>
    </w:p>
    <w:p>
      <w:r>
        <w:t>A transition review combines graduate outcomes, employer evidence, occupation change, and programme capacity before recommending adaptation.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V7_C_N08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