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From School to Work Without Chasing Yesterday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Align school-to-work intelligence with changing labour demand, transferable skills, transition evidence, uncertainty, and accountable education and labour institutions.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Training against yesterday’s vacancies can lock learners into obsolete pathways and overstate the certainty of labour-market forecasts.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transition review combines graduate outcomes, employer evidence, occupation change, and programme capacity before recommending adaptation.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occupation crosswalks.</w:t>
      </w:r>
    </w:p>
    <w:p>
      <w:pPr>
        <w:pStyle w:val="ListBullet"/>
      </w:pPr>
      <w:r>
        <w:t>2.</w:t>
      </w:r>
    </w:p>
    <w:p>
      <w:pPr>
        <w:pStyle w:val="ListBullet"/>
      </w:pPr>
      <w:r>
        <w:t>Explain vacancy bias.</w:t>
      </w:r>
    </w:p>
    <w:p>
      <w:pPr>
        <w:pStyle w:val="ListBullet"/>
      </w:pPr>
      <w:r>
        <w:t>3.</w:t>
      </w:r>
    </w:p>
    <w:p>
      <w:pPr>
        <w:pStyle w:val="ListBullet"/>
      </w:pPr>
      <w:r>
        <w:t>Design employer validation.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Version national/ISCO/ISCED mappings and allow many-to-many links.</w:t>
      </w:r>
    </w:p>
    <w:p>
      <w:pPr>
        <w:pStyle w:val="ListBullet"/>
      </w:pPr>
      <w:r>
        <w:t>2.</w:t>
      </w:r>
    </w:p>
    <w:p>
      <w:pPr>
        <w:pStyle w:val="ListBullet"/>
      </w:pPr>
      <w:r>
        <w:t>Online/formal vacancies underrepresent informal, internal, rural, and unadvertised demand.</w:t>
      </w:r>
    </w:p>
    <w:p>
      <w:pPr>
        <w:pStyle w:val="ListBullet"/>
      </w:pPr>
      <w:r>
        <w:t>3.</w:t>
      </w:r>
    </w:p>
    <w:p>
      <w:pPr>
        <w:pStyle w:val="ListBullet"/>
      </w:pPr>
      <w:r>
        <w:t>Combine structured employer surveys, tracer studies, administrative data, sector councils, and documented qualitative review.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