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Inclusion Begins by Seeing Barriers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Identify and remove barriers to education using accessible evidence, lived experience, reasonable accommodation, referral pathways, and accountable human review.</w:t>
            </w:r>
          </w:p>
        </w:tc>
      </w:tr>
    </w:tbl>
    <w:p>
      <w:pPr>
        <w:pStyle w:val="Heading1"/>
      </w:pPr>
      <w:r>
        <w:t>Why it matters</w:t>
      </w:r>
    </w:p>
    <w:p>
      <w:r>
        <w:t>Deficit-based classification can stigmatize learners, expose sensitive information, and substitute labels for removal of institutional barriers.</w:t>
      </w:r>
    </w:p>
    <w:p>
      <w:pPr>
        <w:pStyle w:val="Heading1"/>
      </w:pPr>
      <w:r>
        <w:t>Illustrative application</w:t>
      </w:r>
    </w:p>
    <w:p>
      <w:r>
        <w:t>A school combines accessibility review, learner and caregiver input, and service capacity before agreeing a support plan.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V7_C_N09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