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Inclusion Begins by Seeing Barriers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Explain under-identification.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universal-design indicators.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Define safeguarding.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Registration depends on screening, stigma, service availability, definitions, and administrative access, so it is not prevalence.</w:t>
      </w:r>
    </w:p>
    <w:p>
      <w:pPr>
        <w:pStyle w:val="Heading2"/>
      </w:pPr>
      <w:r>
        <w:t>Solution 2</w:t>
      </w:r>
    </w:p>
    <w:p>
      <w:r>
        <w:t>Measure physical, communication, curricular, digital, transport, sanitation, and assessment accessibility.</w:t>
      </w:r>
    </w:p>
    <w:p>
      <w:pPr>
        <w:pStyle w:val="Heading2"/>
      </w:pPr>
      <w:r>
        <w:t>Solution 3</w:t>
      </w:r>
    </w:p>
    <w:p>
      <w:r>
        <w:t>Use consent, minimization, restricted access, non-discrimination, referral protocols, grievance channels, and no automated individual decisions.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V7_C_N09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