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Keep Learning Going When Hazards Arrive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PU-B07-C45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Protect learning continuity by combining hazard, exposure, vulnerability, accessibility, preparedness, response capacity, uncertainty, and authorized action.</w:t>
            </w:r>
          </w:p>
        </w:tc>
      </w:tr>
    </w:tbl>
    <w:p>
      <w:pPr>
        <w:pStyle w:val="Heading1"/>
      </w:pPr>
      <w:r>
        <w:t>Why it matters</w:t>
      </w:r>
    </w:p>
    <w:p>
      <w:r>
        <w:t>Hazard alerts without exposure, capacity, or authority can cause unnecessary closure, unequal disruption, or delayed protective action.</w:t>
      </w:r>
    </w:p>
    <w:p>
      <w:pPr>
        <w:pStyle w:val="Heading1"/>
      </w:pPr>
      <w:r>
        <w:t>Illustrative application</w:t>
      </w:r>
    </w:p>
    <w:p>
      <w:r>
        <w:t>A district tests heat, flood, access, and continuity scenarios before activating a proportionate school-safety plan.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V7_C_N10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