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Anomaly Is Not Guilt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Use examination anomalies as review signals—not proof of misconduct—while preserving evidence, uncertainty, confidentiality, due process, and authorized investigative authority.</w:t>
            </w:r>
          </w:p>
        </w:tc>
      </w:tr>
    </w:tbl>
    <w:p>
      <w:pPr>
        <w:pStyle w:val="Heading1"/>
      </w:pPr>
      <w:r>
        <w:t>Why it matters</w:t>
      </w:r>
    </w:p>
    <w:p>
      <w:r>
        <w:t>Automated anomaly detection can wrongly accuse learners or schools when similarity, context, data quality, and alternative explanations are ignored.</w:t>
      </w:r>
    </w:p>
    <w:p>
      <w:pPr>
        <w:pStyle w:val="Heading1"/>
      </w:pPr>
      <w:r>
        <w:t>Illustrative application</w:t>
      </w:r>
    </w:p>
    <w:p>
      <w:r>
        <w:t>An assessment authority examines unusual answer patterns with administration records and independent review before drawing any conclusion.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V7_C_N11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