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Anomaly Is Not Guilt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Control multiple testing.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Explain similarity limits.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Design due process.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Pre-specify tests and use false-discovery or family-wise controls with validation.</w:t>
      </w:r>
    </w:p>
    <w:p>
      <w:pPr>
        <w:pStyle w:val="Heading2"/>
      </w:pPr>
      <w:r>
        <w:t>Solution 2</w:t>
      </w:r>
    </w:p>
    <w:p>
      <w:r>
        <w:t>Similarity can reflect teaching, curriculum, chance, form structure, or accommodations; it is not proof of collusion.</w:t>
      </w:r>
    </w:p>
    <w:p>
      <w:pPr>
        <w:pStyle w:val="Heading2"/>
      </w:pPr>
      <w:r>
        <w:t>Solution 3</w:t>
      </w:r>
    </w:p>
    <w:p>
      <w:r>
        <w:t>Restrict access, preserve evidence, notify fairly, allow response/appeal, require independent human review, and separate analytics from sanction authority.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V7_C_N11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