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CANONICAL LESSON</w:t>
      </w:r>
    </w:p>
    <w:p>
      <w:pPr>
        <w:pStyle w:val="Title"/>
      </w:pPr>
      <w:r>
        <w:t>Anomaly Is Not Guilt</w:t>
      </w:r>
    </w:p>
    <w:p>
      <w:pPr>
        <w:spacing w:after="280"/>
      </w:pPr>
      <w:r>
        <w:rPr>
          <w:color w:val="5B6573"/>
          <w:sz w:val="26"/>
        </w:rPr>
        <w:t>Decision-centred foundations for accountable sector intelligence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PU-B07-C46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V7_C_N11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660"/>
          </w:tcPr>
          <w:p>
            <w:r>
              <w:t>Controlled educational draft v0.1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 boundary</w:t>
            </w:r>
          </w:p>
        </w:tc>
        <w:tc>
          <w:tcPr>
            <w:tcW w:type="dxa" w:w="6660"/>
          </w:tcPr>
          <w:p>
            <w:r>
              <w:t>Synthetic instructional data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Central decision: </w:t>
            </w:r>
            <w:r>
              <w:t>Use examination anomalies as review signals—not proof of misconduct—while preserving evidence, uncertainty, confidentiality, due process, and authorized investigative authority.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Heading1"/>
      </w:pPr>
      <w:r>
        <w:t>Why this matters</w:t>
      </w:r>
    </w:p>
    <w:p>
      <w:r>
        <w:t>Automated anomaly detection can wrongly accuse learners or schools when similarity, context, data quality, and alternative explanations are ignored.</w:t>
      </w:r>
    </w:p>
    <w:p>
      <w:r>
        <w:t>The analytical workflow is useful only when evidence, uncertainty, authority, and action are connected explicitly. The model supports professional judgement; it does not replace accountable institutional authority.</w:t>
      </w:r>
    </w:p>
    <w:p>
      <w:pPr>
        <w:pStyle w:val="Heading1"/>
      </w:pPr>
      <w:r>
        <w:t>Worked cross-sector example</w:t>
      </w:r>
    </w:p>
    <w:p>
      <w:r>
        <w:t>An assessment authority examines unusual answer patterns with administration records and independent review before drawing any conclusion.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Boundary: </w:t>
            </w:r>
            <w:r>
              <w:t>The example supports learning and review. It does not constitute an official statistic, eligibility determination, enforcement action, clinical judgement, or operational authorization.</w:t>
            </w:r>
          </w:p>
        </w:tc>
      </w:tr>
    </w:tbl>
    <w:p>
      <w:pPr>
        <w:pStyle w:val="Heading1"/>
      </w:pPr>
      <w:r>
        <w:t>Practice and reflection</w:t>
      </w:r>
    </w:p>
    <w:p>
      <w:pPr>
        <w:pStyle w:val="ListBullet"/>
      </w:pPr>
      <w:r>
        <w:t>1.</w:t>
      </w:r>
    </w:p>
    <w:p>
      <w:pPr>
        <w:pStyle w:val="ListBullet"/>
      </w:pPr>
      <w:r>
        <w:t>Control multiple testing.</w:t>
      </w:r>
    </w:p>
    <w:p>
      <w:pPr>
        <w:pStyle w:val="ListBullet"/>
      </w:pPr>
      <w:r>
        <w:t>2.</w:t>
      </w:r>
    </w:p>
    <w:p>
      <w:pPr>
        <w:pStyle w:val="ListBullet"/>
      </w:pPr>
      <w:r>
        <w:t>Explain similarity limits.</w:t>
      </w:r>
    </w:p>
    <w:p>
      <w:pPr>
        <w:pStyle w:val="ListBullet"/>
      </w:pPr>
      <w:r>
        <w:t>3.</w:t>
      </w:r>
    </w:p>
    <w:p>
      <w:pPr>
        <w:pStyle w:val="ListBullet"/>
      </w:pPr>
      <w:r>
        <w:t>Design due process.</w:t>
      </w:r>
    </w:p>
    <w:p>
      <w:pPr>
        <w:pStyle w:val="Heading1"/>
      </w:pPr>
      <w:r>
        <w:t>Answer key</w:t>
      </w:r>
    </w:p>
    <w:p>
      <w:pPr>
        <w:pStyle w:val="ListBullet"/>
      </w:pPr>
      <w:r>
        <w:t>1.</w:t>
      </w:r>
    </w:p>
    <w:p>
      <w:pPr>
        <w:pStyle w:val="ListBullet"/>
      </w:pPr>
      <w:r>
        <w:t>Pre-specify tests and use false-discovery or family-wise controls with validation.</w:t>
      </w:r>
    </w:p>
    <w:p>
      <w:pPr>
        <w:pStyle w:val="ListBullet"/>
      </w:pPr>
      <w:r>
        <w:t>2.</w:t>
      </w:r>
    </w:p>
    <w:p>
      <w:pPr>
        <w:pStyle w:val="ListBullet"/>
      </w:pPr>
      <w:r>
        <w:t>Similarity can reflect teaching, curriculum, chance, form structure, or accommodations; it is not proof of collusion.</w:t>
      </w:r>
    </w:p>
    <w:p>
      <w:pPr>
        <w:pStyle w:val="ListBullet"/>
      </w:pPr>
      <w:r>
        <w:t>3.</w:t>
      </w:r>
    </w:p>
    <w:p>
      <w:pPr>
        <w:pStyle w:val="ListBullet"/>
      </w:pPr>
      <w:r>
        <w:t>Restrict access, preserve evidence, notify fairly, allow response/appeal, require independent human review, and separate analytics from sanction authority.</w:t>
      </w:r>
    </w:p>
    <w:p>
      <w:pPr>
        <w:pStyle w:val="Heading1"/>
      </w:pPr>
      <w:r>
        <w:t>Operational readiness checklist</w:t>
      </w:r>
    </w:p>
    <w:p>
      <w:pPr>
        <w:pStyle w:val="ListBullet"/>
      </w:pPr>
      <w:r>
        <w:t>Purpose and decision owner are named.</w:t>
      </w:r>
    </w:p>
    <w:p>
      <w:pPr>
        <w:pStyle w:val="ListBullet"/>
      </w:pPr>
      <w:r>
        <w:t>Evidence definitions, provenance, and lawful access are documented.</w:t>
      </w:r>
    </w:p>
    <w:p>
      <w:pPr>
        <w:pStyle w:val="ListBullet"/>
      </w:pPr>
      <w:r>
        <w:t>Uncertainty and abstention are visible.</w:t>
      </w:r>
    </w:p>
    <w:p>
      <w:pPr>
        <w:pStyle w:val="ListBullet"/>
      </w:pPr>
      <w:r>
        <w:t>Human review, escalation, monitoring, incident response, and retirement are assigned.</w:t>
      </w:r>
    </w:p>
    <w:p>
      <w:pPr>
        <w:pStyle w:val="ListBullet"/>
      </w:pPr>
      <w:r>
        <w:t>Equity, accessibility, security, and sector-specific approval are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V7_C_N11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