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Education Surveys and Frames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Design education surveys with explicit populations, frames, selection probabilities, weights, nonresponse treatment, precision, disclosure controls, and fitness for the intended decision.</w:t>
            </w:r>
          </w:p>
        </w:tc>
      </w:tr>
    </w:tbl>
    <w:p>
      <w:pPr>
        <w:pStyle w:val="Heading1"/>
      </w:pPr>
      <w:r>
        <w:t>Why it matters</w:t>
      </w:r>
    </w:p>
    <w:p>
      <w:r>
        <w:t>A polished estimate can remain biased when excluded schools, nonresponse, or incorrect weights are hidden.</w:t>
      </w:r>
    </w:p>
    <w:p>
      <w:pPr>
        <w:pStyle w:val="Heading1"/>
      </w:pPr>
      <w:r>
        <w:t>Illustrative application</w:t>
      </w:r>
    </w:p>
    <w:p>
      <w:r>
        <w:t>A school survey reports frame coverage and weighted uncertainty before publishing district estimates.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