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Education Surveys and Frames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Design education surveys with explicit populations, frames, selection probabilities, weights, nonresponse treatment, precision, disclosure controls, and fitness for the intended decision.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polished estimate can remain biased when excluded schools, nonresponse, or incorrect weights are hidden.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school survey reports frame coverage and weighted uncertainty before publishing district estimates.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Diagnose frame undercoverage.</w:t>
      </w:r>
    </w:p>
    <w:p>
      <w:pPr>
        <w:pStyle w:val="ListBullet"/>
      </w:pPr>
      <w:r>
        <w:t>2.</w:t>
      </w:r>
    </w:p>
    <w:p>
      <w:pPr>
        <w:pStyle w:val="ListBullet"/>
      </w:pPr>
      <w:r>
        <w:t>Compare EMIS and survey rates.</w:t>
      </w:r>
    </w:p>
    <w:p>
      <w:pPr>
        <w:pStyle w:val="ListBullet"/>
      </w:pPr>
      <w:r>
        <w:t>3.</w:t>
      </w:r>
    </w:p>
    <w:p>
      <w:pPr>
        <w:pStyle w:val="ListBullet"/>
      </w:pPr>
      <w:r>
        <w:t>Protect excluded learners.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Compare frame counts with census, listings, geospatial evidence, and field verification.</w:t>
      </w:r>
    </w:p>
    <w:p>
      <w:pPr>
        <w:pStyle w:val="ListBullet"/>
      </w:pPr>
      <w:r>
        <w:t>2.</w:t>
      </w:r>
    </w:p>
    <w:p>
      <w:pPr>
        <w:pStyle w:val="ListBullet"/>
      </w:pPr>
      <w:r>
        <w:t>Align definitions, age, period, geography, and denominators before interpreting differences.</w:t>
      </w:r>
    </w:p>
    <w:p>
      <w:pPr>
        <w:pStyle w:val="ListBullet"/>
      </w:pPr>
      <w:r>
        <w:t>3.</w:t>
      </w:r>
    </w:p>
    <w:p>
      <w:pPr>
        <w:pStyle w:val="ListBullet"/>
      </w:pPr>
      <w:r>
        <w:t>Aggregate outputs, minimize identifiers, prevent stigma, and route support through authorized human processes.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