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Policy Simulation for Education Finance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education-finance simulations to compare transparent scenarios, distributional effects, implementation constraints, uncertainty, and fiscal trade-offs—not to predict a single certain future.</w:t>
            </w:r>
          </w:p>
        </w:tc>
      </w:tr>
    </w:tbl>
    <w:p>
      <w:pPr>
        <w:pStyle w:val="Heading1"/>
      </w:pPr>
      <w:r>
        <w:t>Why it matters</w:t>
      </w:r>
    </w:p>
    <w:p>
      <w:r>
        <w:t>Opaque assumptions or single-point projections can make a politically preferred option appear technically inevitable.</w:t>
      </w:r>
    </w:p>
    <w:p>
      <w:pPr>
        <w:pStyle w:val="Heading1"/>
      </w:pPr>
      <w:r>
        <w:t>Illustrative application</w:t>
      </w:r>
    </w:p>
    <w:p>
      <w:r>
        <w:t>A ministry compares funding-formula scenarios across enrolment, equity, staffing, infrastructure, and budget constraints.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