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Policy Simulation for Education Finance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 transparent equity weight.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Test a budget ceiling.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optimization cannot make the budget decision.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Publish the need definition, weight, evidence, beneficiaries, and distributional impact.</w:t>
      </w:r>
    </w:p>
    <w:p>
      <w:pPr>
        <w:pStyle w:val="Heading2"/>
      </w:pPr>
      <w:r>
        <w:t>Solution 2</w:t>
      </w:r>
    </w:p>
    <w:p>
      <w:r>
        <w:t>Scale or sequence within the ceiling while preserving statutory minima and showing unmet need.</w:t>
      </w:r>
    </w:p>
    <w:p>
      <w:pPr>
        <w:pStyle w:val="Heading2"/>
      </w:pPr>
      <w:r>
        <w:t>Solution 3</w:t>
      </w:r>
    </w:p>
    <w:p>
      <w:r>
        <w:t>Budgeting requires lawful authority, priorities, trade-offs, participation, implementation capacity, and accountability beyond mathematics.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