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9A6A00"/>
          <w:sz w:val="18"/>
        </w:rPr>
        <w:t>EXECUTIVE BRIEF</w:t>
      </w:r>
    </w:p>
    <w:p>
      <w:pPr>
        <w:pStyle w:val="Title"/>
      </w:pPr>
      <w:r>
        <w:t>Evaluate Programmes, Not Just Scores</w:t>
      </w:r>
    </w:p>
    <w:p>
      <w:pPr>
        <w:spacing w:after="280"/>
      </w:pPr>
      <w:r>
        <w:rPr>
          <w:color w:val="5B6573"/>
          <w:sz w:val="26"/>
        </w:rPr>
        <w:t>What leaders should authorize, require, and refuse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shd w:fill="E8EEF5"/>
          </w:tcPr>
          <w:p>
            <w:r>
              <w:rPr>
                <w:b/>
              </w:rPr>
              <w:t>Production Unit</w:t>
            </w:r>
          </w:p>
        </w:tc>
        <w:tc>
          <w:tcPr>
            <w:tcW w:type="dxa" w:w="6660"/>
          </w:tcPr>
          <w:p>
            <w:r>
              <w:t>PU-B07-C49</w:t>
            </w:r>
          </w:p>
        </w:tc>
      </w:tr>
      <w:tr>
        <w:tc>
          <w:tcPr>
            <w:tcW w:type="dxa" w:w="2700"/>
            <w:shd w:fill="E8EEF5"/>
          </w:tcPr>
          <w:p>
            <w:r>
              <w:rPr>
                <w:b/>
              </w:rPr>
              <w:t>Decision status</w:t>
            </w:r>
          </w:p>
        </w:tc>
        <w:tc>
          <w:tcPr>
            <w:tcW w:type="dxa" w:w="6660"/>
          </w:tcPr>
          <w:p>
            <w:r>
              <w:t>Controlled learning asset</w:t>
            </w:r>
          </w:p>
        </w:tc>
      </w:tr>
      <w:tr>
        <w:tc>
          <w:tcPr>
            <w:tcW w:type="dxa" w:w="2700"/>
            <w:shd w:fill="E8EEF5"/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6660"/>
          </w:tcPr>
          <w:p>
            <w:r>
              <w:t>Executives, programme owners, statisticians, technical leads</w:t>
            </w:r>
          </w:p>
        </w:tc>
      </w:tr>
      <w:tr>
        <w:tc>
          <w:tcPr>
            <w:tcW w:type="dxa" w:w="2700"/>
            <w:shd w:fill="E8EEF5"/>
          </w:tcPr>
          <w:p>
            <w:r>
              <w:rPr>
                <w:b/>
              </w:rPr>
              <w:t>Data</w:t>
            </w:r>
          </w:p>
        </w:tc>
        <w:tc>
          <w:tcPr>
            <w:tcW w:type="dxa" w:w="6660"/>
          </w:tcPr>
          <w:p>
            <w:r>
              <w:t>Synthetic examples only</w:t>
            </w:r>
          </w:p>
        </w:tc>
      </w:tr>
    </w:tbl>
    <w:p/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shd w:fill="F4F6F9"/>
          </w:tcPr>
          <w:p>
            <w:r>
              <w:rPr>
                <w:b/>
                <w:color w:val="0B2545"/>
              </w:rPr>
              <w:t xml:space="preserve">Executive takeaway: </w:t>
            </w:r>
            <w:r>
              <w:t>Evaluate education programmes using explicit theory, counterfactual logic, implementation evidence, outcomes, equity, costs, uncertainty, and decision relevance.</w:t>
            </w:r>
          </w:p>
        </w:tc>
      </w:tr>
    </w:tbl>
    <w:p>
      <w:pPr>
        <w:pStyle w:val="Heading1"/>
      </w:pPr>
      <w:r>
        <w:t>Why it matters</w:t>
      </w:r>
    </w:p>
    <w:p>
      <w:r>
        <w:t>Before-and-after scores can misattribute change and encourage scaling a programme that was ineffective, unequal, or poorly implemented.</w:t>
      </w:r>
    </w:p>
    <w:p>
      <w:pPr>
        <w:pStyle w:val="Heading1"/>
      </w:pPr>
      <w:r>
        <w:t>Illustrative application</w:t>
      </w:r>
    </w:p>
    <w:p>
      <w:r>
        <w:t>An evaluation separates score change from plausible programme contribution and checks who benefited, at what cost, and under which conditions.</w:t>
      </w:r>
    </w:p>
    <w:p>
      <w:pPr>
        <w:pStyle w:val="Heading1"/>
      </w:pPr>
      <w:r>
        <w:t>Minimum approval conditions</w:t>
      </w:r>
    </w:p>
    <w:p>
      <w:pPr>
        <w:pStyle w:val="ListBullet"/>
      </w:pPr>
      <w:r>
        <w:t>Named accountable owner and lawful purpose</w:t>
      </w:r>
    </w:p>
    <w:p>
      <w:pPr>
        <w:pStyle w:val="ListBullet"/>
      </w:pPr>
      <w:r>
        <w:t>Defined evidence, provenance, reference period, population, and geography</w:t>
      </w:r>
    </w:p>
    <w:p>
      <w:pPr>
        <w:pStyle w:val="ListBullet"/>
      </w:pPr>
      <w:r>
        <w:t>Decision-relevant validation and visible uncertainty</w:t>
      </w:r>
    </w:p>
    <w:p>
      <w:pPr>
        <w:pStyle w:val="ListBullet"/>
      </w:pPr>
      <w:r>
        <w:t>Documented abstention, referral, override, and incident processes</w:t>
      </w:r>
    </w:p>
    <w:p>
      <w:pPr>
        <w:pStyle w:val="ListBullet"/>
      </w:pPr>
      <w:r>
        <w:t>Accessibility, equity, security, retention, and retirement review</w:t>
      </w:r>
    </w:p>
    <w:p>
      <w:pPr>
        <w:pStyle w:val="Heading1"/>
      </w:pPr>
      <w:r>
        <w:t>Non-negotiable boundary</w:t>
      </w:r>
    </w:p>
    <w:p>
      <w:r>
        <w:t>The analytical system may inform review. It may not independently authorize benefits, sanctions, enforcement, clinical treatment, school exclusion, displacement, or another consequential action.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B6573"/>
        <w:sz w:val="16"/>
      </w:rPr>
      <w:t xml:space="preserve">Controlled educational edition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B6573"/>
        <w:sz w:val="16"/>
      </w:rPr>
      <w:t>SRAI BOOK 7  |  V7_C_N14 brief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0B2545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0B2545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/>
      <w:ind w:left="720" w:hanging="360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20"/>
      <w:ind w:left="720" w:hanging="360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