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Evaluate Programmes, Not Just Scores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Evaluate education programmes using explicit theory, counterfactual logic, implementation evidence, outcomes, equity, costs, uncertainty, and decision relevance.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Before-and-after scores can misattribute change and encourage scaling a programme that was ineffective, unequal, or poorly implemented.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evaluation separates score change from plausible programme contribution and checks who benefited, at what cost, and under which conditions.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Account for school clustering.</w:t>
      </w:r>
    </w:p>
    <w:p>
      <w:pPr>
        <w:pStyle w:val="ListBullet"/>
      </w:pPr>
      <w:r>
        <w:t>2.</w:t>
      </w:r>
    </w:p>
    <w:p>
      <w:pPr>
        <w:pStyle w:val="ListBullet"/>
      </w:pPr>
      <w:r>
        <w:t>Distinguish statistical and educational importance.</w:t>
      </w:r>
    </w:p>
    <w:p>
      <w:pPr>
        <w:pStyle w:val="ListBullet"/>
      </w:pPr>
      <w:r>
        <w:t>3.</w:t>
      </w:r>
    </w:p>
    <w:p>
      <w:pPr>
        <w:pStyle w:val="ListBullet"/>
      </w:pPr>
      <w:r>
        <w:t>Audit heterogeneous effects.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Randomization and inference must respect the school or assigned cluster.</w:t>
      </w:r>
    </w:p>
    <w:p>
      <w:pPr>
        <w:pStyle w:val="ListBullet"/>
      </w:pPr>
      <w:r>
        <w:t>2.</w:t>
      </w:r>
    </w:p>
    <w:p>
      <w:pPr>
        <w:pStyle w:val="ListBullet"/>
      </w:pPr>
      <w:r>
        <w:t>A precise small score change may not matter educationally; compare against meaningful benchmarks and costs.</w:t>
      </w:r>
    </w:p>
    <w:p>
      <w:pPr>
        <w:pStyle w:val="ListBullet"/>
      </w:pPr>
      <w:r>
        <w:t>3.</w:t>
      </w:r>
    </w:p>
    <w:p>
      <w:pPr>
        <w:pStyle w:val="ListBullet"/>
      </w:pPr>
      <w:r>
        <w:t>Pre-specify subgroups, report uncertainty, avoid deficit labels, and investigate implementation and access.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