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National Education Intelligence Capstone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Integrate governed education data, equity, resources, learning, transitions, safety, finance, evaluation, uncertainty, and institutional authority into a national decision product.</w:t>
            </w:r>
          </w:p>
        </w:tc>
      </w:tr>
    </w:tbl>
    <w:p>
      <w:pPr>
        <w:pStyle w:val="Heading1"/>
      </w:pPr>
      <w:r>
        <w:t>Why it matters</w:t>
      </w:r>
    </w:p>
    <w:p>
      <w:r>
        <w:t>Integration without governance can centralize data errors, obscure local variation, and weaken educational accountability.</w:t>
      </w:r>
    </w:p>
    <w:p>
      <w:pPr>
        <w:pStyle w:val="Heading1"/>
      </w:pPr>
      <w:r>
        <w:t>Illustrative application</w:t>
      </w:r>
    </w:p>
    <w:p>
      <w:r>
        <w:t>A national brief connects indicators, distributional evidence, capacity, risks, scenarios, accountable owners, and review dates.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