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National Education Intelligence Capstone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PU-B07-C50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V7_C_N15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Integrate governed education data, equity, resources, learning, transitions, safety, finance, evaluation, uncertainty, and institutional authority into a national decision product.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Integration without governance can centralize data errors, obscure local variation, and weaken educational accountability.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national brief connects indicators, distributional evidence, capacity, risks, scenarios, accountable owners, and review dates.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Convert an attendance signal into support.</w:t>
      </w:r>
    </w:p>
    <w:p>
      <w:pPr>
        <w:pStyle w:val="ListBullet"/>
      </w:pPr>
      <w:r>
        <w:t>2.</w:t>
      </w:r>
    </w:p>
    <w:p>
      <w:pPr>
        <w:pStyle w:val="ListBullet"/>
      </w:pPr>
      <w:r>
        <w:t>Reconcile EMIS and survey denominators.</w:t>
      </w:r>
    </w:p>
    <w:p>
      <w:pPr>
        <w:pStyle w:val="ListBullet"/>
      </w:pPr>
      <w:r>
        <w:t>3.</w:t>
      </w:r>
    </w:p>
    <w:p>
      <w:pPr>
        <w:pStyle w:val="ListBullet"/>
      </w:pPr>
      <w:r>
        <w:t>Defend a finance scenario publicly.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Verify context, contact through authorized safeguards, assess needs, offer feasible support, protect privacy, and allow correction.</w:t>
      </w:r>
    </w:p>
    <w:p>
      <w:pPr>
        <w:pStyle w:val="ListBullet"/>
      </w:pPr>
      <w:r>
        <w:t>2.</w:t>
      </w:r>
    </w:p>
    <w:p>
      <w:pPr>
        <w:pStyle w:val="ListBullet"/>
      </w:pPr>
      <w:r>
        <w:t>Align population, age, period, geography, definitions, frame, and weights before comparison.</w:t>
      </w:r>
    </w:p>
    <w:p>
      <w:pPr>
        <w:pStyle w:val="ListBullet"/>
      </w:pPr>
      <w:r>
        <w:t>3.</w:t>
      </w:r>
    </w:p>
    <w:p>
      <w:pPr>
        <w:pStyle w:val="ListBullet"/>
      </w:pPr>
      <w:r>
        <w:t>Publish assumptions, unit costs, ceiling, distribution, unmet need, sensitivity, authority, and participation record.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