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Housing Need Beyond Counts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PU-B07-C51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Assess housing need through households, adequacy, affordability, location, tenure context, supply, displacement risk, and uncertainty—not dwelling counts alone.</w:t>
            </w:r>
          </w:p>
        </w:tc>
      </w:tr>
    </w:tbl>
    <w:p>
      <w:pPr>
        <w:pStyle w:val="Heading1"/>
      </w:pPr>
      <w:r>
        <w:t>Why it matters</w:t>
      </w:r>
    </w:p>
    <w:p>
      <w:r>
        <w:t>Unit counts can conceal unaffordability, overcrowding, poor quality, exclusion, and housing that is disconnected from livelihoods and services.</w:t>
      </w:r>
    </w:p>
    <w:p>
      <w:pPr>
        <w:pStyle w:val="Heading1"/>
      </w:pPr>
      <w:r>
        <w:t>Illustrative application</w:t>
      </w:r>
    </w:p>
    <w:p>
      <w:r>
        <w:t>A city compares household formation, rents, incomes, vacancies, housing quality, and location before defining an intervention.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V7_D_N01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