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Housing Need Beyond Counts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V7_D_N01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overcrowding and dwelling-quality indicators.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Model supply completion.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Compare area and household measures.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4</w:t>
      </w:r>
    </w:p>
    <w:p>
      <w:r>
        <w:t>Explain why vacancy does not imply immediately usable housing.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Define occupancy norm and quality dimensions with survey uncertainty.</w:t>
      </w:r>
    </w:p>
    <w:p>
      <w:pPr>
        <w:pStyle w:val="Heading2"/>
      </w:pPr>
      <w:r>
        <w:t>Solution 2</w:t>
      </w:r>
    </w:p>
    <w:p>
      <w:r>
        <w:t>Use permits, starts, completion probabilities, delays, demolitions, and conversions.</w:t>
      </w:r>
    </w:p>
    <w:p>
      <w:pPr>
        <w:pStyle w:val="Heading2"/>
      </w:pPr>
      <w:r>
        <w:t>Solution 3</w:t>
      </w:r>
    </w:p>
    <w:p>
      <w:r>
        <w:t>Area averages describe places; household distributions describe people and may reveal inequality hidden by averages.</w:t>
      </w:r>
    </w:p>
    <w:p>
      <w:pPr>
        <w:pStyle w:val="Heading2"/>
      </w:pPr>
      <w:r>
        <w:t>Solution 4</w:t>
      </w:r>
    </w:p>
    <w:p>
      <w:r>
        <w:t>Vacant units may be seasonal, uninhabitable, mismatched, speculative, legally unavailable, or unaffordable.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V7_D_N01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