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See Urban Change Without Inventing Tenure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Measure urban growth and land-use change without inferring legal tenure, ownership, occupancy rights, or enforcement status from imagery or classification alone.</w:t>
            </w:r>
          </w:p>
        </w:tc>
      </w:tr>
    </w:tbl>
    <w:p>
      <w:pPr>
        <w:pStyle w:val="Heading1"/>
      </w:pPr>
      <w:r>
        <w:t>Why it matters</w:t>
      </w:r>
    </w:p>
    <w:p>
      <w:r>
        <w:t>Remote-sensing classifications can be misused to invent tenure claims, criminalize residents, or justify displacement without due process.</w:t>
      </w:r>
    </w:p>
    <w:p>
      <w:pPr>
        <w:pStyle w:val="Heading1"/>
      </w:pPr>
      <w:r>
        <w:t>Illustrative application</w:t>
      </w:r>
    </w:p>
    <w:p>
      <w:r>
        <w:t>A planning team confirms observed land-cover change with authorized records and field evidence before considering action.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V7_D_N02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