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See Urban Change Without Inventing Tenure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Build a change matrix.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positional uncertainty.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State the tenure boundary.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Cross-tabulate t0 and t1 classes with areas and confidence.</w:t>
      </w:r>
    </w:p>
    <w:p>
      <w:pPr>
        <w:pStyle w:val="Heading2"/>
      </w:pPr>
      <w:r>
        <w:t>Solution 2</w:t>
      </w:r>
    </w:p>
    <w:p>
      <w:r>
        <w:t>Use co-registration checks and buffer/sensitivity analysis near boundaries.</w:t>
      </w:r>
    </w:p>
    <w:p>
      <w:pPr>
        <w:pStyle w:val="Heading2"/>
      </w:pPr>
      <w:r>
        <w:t>Solution 3</w:t>
      </w:r>
    </w:p>
    <w:p>
      <w:r>
        <w:t>Land cover is physical evidence; tenure and legality require authoritative records, due process, and community/rights safeguards.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V7_D_N02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