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See the Service Gaps: Informal-Settlement Mapping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Map service gaps in informal settlements using accessible, privacy-preserving, participatory evidence that supports equitable investment without exposing or stigmatizing residents.</w:t>
            </w:r>
          </w:p>
        </w:tc>
      </w:tr>
    </w:tbl>
    <w:p>
      <w:pPr>
        <w:pStyle w:val="Heading1"/>
      </w:pPr>
      <w:r>
        <w:t>Why it matters</w:t>
      </w:r>
    </w:p>
    <w:p>
      <w:r>
        <w:t>High-resolution maps can expose vulnerable households, reinforce stigma, or become instruments of eviction rather than service improvement.</w:t>
      </w:r>
    </w:p>
    <w:p>
      <w:pPr>
        <w:pStyle w:val="Heading1"/>
      </w:pPr>
      <w:r>
        <w:t>Illustrative application</w:t>
      </w:r>
    </w:p>
    <w:p>
      <w:r>
        <w:t>Residents and service agencies validate aggregated water, sanitation, access, drainage, and waste gaps before prioritization.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