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See the Service Gaps: Informal-Settlement Mapping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V7_D_N03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Replace straight-line distance with a network measure.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Add uncertainty ranges to coverage estimates.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Design a community-validation protocol.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4</w:t>
      </w:r>
    </w:p>
    <w:p>
      <w:r>
        <w:t>Explain why “informal” is not an analytical risk label.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Use an authoritative routable network, travel modes, barriers, time, accessibility, and CRS validation.</w:t>
      </w:r>
    </w:p>
    <w:p>
      <w:pPr>
        <w:pStyle w:val="Heading2"/>
      </w:pPr>
      <w:r>
        <w:t>Solution 2</w:t>
      </w:r>
    </w:p>
    <w:p>
      <w:r>
        <w:t>Propagate survey/sensor/classification uncertainty and show interval-sensitive ranks.</w:t>
      </w:r>
    </w:p>
    <w:p>
      <w:pPr>
        <w:pStyle w:val="Heading2"/>
      </w:pPr>
      <w:r>
        <w:t>Solution 3</w:t>
      </w:r>
    </w:p>
    <w:p>
      <w:r>
        <w:t>Define representation, consent, accessible communication, correction, grievance, feedback, and no-retaliation safeguards.</w:t>
      </w:r>
    </w:p>
    <w:p>
      <w:pPr>
        <w:pStyle w:val="Heading2"/>
      </w:pPr>
      <w:r>
        <w:t>Solution 4</w:t>
      </w:r>
    </w:p>
    <w:p>
      <w:r>
        <w:t>Informality is a legal/social planning context; converting it into a risk score can stigmatize residents and enable punitive misuse.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V7_D_N03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