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See the Service Gaps: Informal-Settlement Mapping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Map service gaps in informal settlements using accessible, privacy-preserving, participatory evidence that supports equitable investment without exposing or stigmatizing residents.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High-resolution maps can expose vulnerable households, reinforce stigma, or become instruments of eviction rather than service improvement.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Residents and service agencies validate aggregated water, sanitation, access, drainage, and waste gaps before prioritization.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Replace straight-line distance with a network measure.</w:t>
      </w:r>
    </w:p>
    <w:p>
      <w:pPr>
        <w:pStyle w:val="ListBullet"/>
      </w:pPr>
      <w:r>
        <w:t>2.</w:t>
      </w:r>
    </w:p>
    <w:p>
      <w:pPr>
        <w:pStyle w:val="ListBullet"/>
      </w:pPr>
      <w:r>
        <w:t>Add uncertainty ranges to coverage estimates.</w:t>
      </w:r>
    </w:p>
    <w:p>
      <w:pPr>
        <w:pStyle w:val="ListBullet"/>
      </w:pPr>
      <w:r>
        <w:t>3.</w:t>
      </w:r>
    </w:p>
    <w:p>
      <w:pPr>
        <w:pStyle w:val="ListBullet"/>
      </w:pPr>
      <w:r>
        <w:t>Design a community-validation protocol.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“informal” is not an analytical risk label.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an authoritative routable network, travel modes, barriers, time, accessibility, and CRS validation.</w:t>
      </w:r>
    </w:p>
    <w:p>
      <w:pPr>
        <w:pStyle w:val="ListBullet"/>
      </w:pPr>
      <w:r>
        <w:t>2.</w:t>
      </w:r>
    </w:p>
    <w:p>
      <w:pPr>
        <w:pStyle w:val="ListBullet"/>
      </w:pPr>
      <w:r>
        <w:t>Propagate survey/sensor/classification uncertainty and show interval-sensitive ranks.</w:t>
      </w:r>
    </w:p>
    <w:p>
      <w:pPr>
        <w:pStyle w:val="ListBullet"/>
      </w:pPr>
      <w:r>
        <w:t>3.</w:t>
      </w:r>
    </w:p>
    <w:p>
      <w:pPr>
        <w:pStyle w:val="ListBullet"/>
      </w:pPr>
      <w:r>
        <w:t>Define representation, consent, accessible communication, correction, grievance, feedback, and no-retaliation safeguards.</w:t>
      </w:r>
    </w:p>
    <w:p>
      <w:pPr>
        <w:pStyle w:val="ListBullet"/>
      </w:pPr>
      <w:r>
        <w:t>4.</w:t>
      </w:r>
    </w:p>
    <w:p>
      <w:pPr>
        <w:pStyle w:val="ListBullet"/>
      </w:pPr>
      <w:r>
        <w:t>Informality is a legal/social planning context; converting it into a risk score can stigmatize residents and enable punitive misuse.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