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Shelter Before Disaster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Plan emergency shelter by connecting hazards, exposure, vulnerability, accessibility, capacity, routes, uncertainty, safeguarding, and authorized emergency action.</w:t>
            </w:r>
          </w:p>
        </w:tc>
      </w:tr>
    </w:tbl>
    <w:p>
      <w:pPr>
        <w:pStyle w:val="Heading1"/>
      </w:pPr>
      <w:r>
        <w:t>Why it matters</w:t>
      </w:r>
    </w:p>
    <w:p>
      <w:r>
        <w:t>A shelter count alone can fail when locations are unsafe, inaccessible, undersized, or disconnected from transport and protection services.</w:t>
      </w:r>
    </w:p>
    <w:p>
      <w:pPr>
        <w:pStyle w:val="Heading1"/>
      </w:pPr>
      <w:r>
        <w:t>Illustrative application</w:t>
      </w:r>
    </w:p>
    <w:p>
      <w:r>
        <w:t>An emergency team tests flood scenarios against population needs, accessible routes, shelter capacity, and backup options.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