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Shelter Before Disaster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Plan emergency shelter by connecting hazards, exposure, vulnerability, accessibility, capacity, routes, uncertainty, safeguarding, and authorized emergency action.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A shelter count alone can fail when locations are unsafe, inaccessible, undersized, or disconnected from transport and protection services.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An emergency team tests flood scenarios against population needs, accessible routes, shelter capacity, and backup options.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route/travel-time constraints.</w:t>
      </w:r>
    </w:p>
    <w:p>
      <w:pPr>
        <w:pStyle w:val="ListBullet"/>
      </w:pPr>
      <w:r>
        <w:t>2.</w:t>
      </w:r>
    </w:p>
    <w:p>
      <w:pPr>
        <w:pStyle w:val="ListBullet"/>
      </w:pPr>
      <w:r>
        <w:t>Model shelter failure.</w:t>
      </w:r>
    </w:p>
    <w:p>
      <w:pPr>
        <w:pStyle w:val="ListBullet"/>
      </w:pPr>
      <w:r>
        <w:t>3.</w:t>
      </w:r>
    </w:p>
    <w:p>
      <w:pPr>
        <w:pStyle w:val="ListBullet"/>
      </w:pPr>
      <w:r>
        <w:t>Add uncertainty in population estimates.</w:t>
      </w:r>
    </w:p>
    <w:p>
      <w:pPr>
        <w:pStyle w:val="ListBullet"/>
      </w:pPr>
      <w:r>
        <w:t>4.</w:t>
      </w:r>
    </w:p>
    <w:p>
      <w:pPr>
        <w:pStyle w:val="ListBullet"/>
      </w:pPr>
      <w:r>
        <w:t>Explain why the highest exposure zone may not receive the first intervention.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Use authoritative networks, hazards, modes, barriers, congestion, and accessibility.</w:t>
      </w:r>
    </w:p>
    <w:p>
      <w:pPr>
        <w:pStyle w:val="ListBullet"/>
      </w:pPr>
      <w:r>
        <w:t>2.</w:t>
      </w:r>
    </w:p>
    <w:p>
      <w:pPr>
        <w:pStyle w:val="ListBullet"/>
      </w:pPr>
      <w:r>
        <w:t>Stress-test closure/capacity loss and identify redundancy.</w:t>
      </w:r>
    </w:p>
    <w:p>
      <w:pPr>
        <w:pStyle w:val="ListBullet"/>
      </w:pPr>
      <w:r>
        <w:t>3. propagate census/grid uncertainty through scenario totals and rank stability.</w:t>
      </w:r>
    </w:p>
    <w:p>
      <w:pPr>
        <w:pStyle w:val="ListBullet"/>
      </w:pPr>
      <w:r>
        <w:t>4.</w:t>
      </w:r>
    </w:p>
    <w:p>
      <w:pPr>
        <w:pStyle w:val="ListBullet"/>
      </w:pPr>
      <w:r>
        <w:t>Urgency also depends on warning time, feasibility, vulnerability, access, cascading hazards, current evidence, and authorized response strategy.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