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One Service Picture, Three Different Systems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Create a coherent WASH service picture by reconciling infrastructure, service delivery, household experience, quality, reliability, accessibility, and institutional responsibility.</w:t>
            </w:r>
          </w:p>
        </w:tc>
      </w:tr>
    </w:tbl>
    <w:p>
      <w:pPr>
        <w:pStyle w:val="Heading1"/>
      </w:pPr>
      <w:r>
        <w:t>Why it matters</w:t>
      </w:r>
    </w:p>
    <w:p>
      <w:r>
        <w:t>Infrastructure presence can be mistaken for reliable service when water is unsafe, intermittent, unaffordable, inaccessible, or poorly maintained.</w:t>
      </w:r>
    </w:p>
    <w:p>
      <w:pPr>
        <w:pStyle w:val="Heading1"/>
      </w:pPr>
      <w:r>
        <w:t>Illustrative application</w:t>
      </w:r>
    </w:p>
    <w:p>
      <w:r>
        <w:t>A municipality compares network records, provider operations, and household evidence before declaring an area served.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