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One Service Picture, Three Different Systems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Preserve service-specific standards.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capital and operating constraints.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Protect underserved settlements.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Keep component measures, definitions, responsible agencies, and service levels alongside any composite.</w:t>
      </w:r>
    </w:p>
    <w:p>
      <w:pPr>
        <w:pStyle w:val="Heading2"/>
      </w:pPr>
      <w:r>
        <w:t>Solution 2</w:t>
      </w:r>
    </w:p>
    <w:p>
      <w:r>
        <w:t>Model lifecycle cost, staffing, maintenance, capacity, lead time, and budget authority.</w:t>
      </w:r>
    </w:p>
    <w:p>
      <w:pPr>
        <w:pStyle w:val="Heading2"/>
      </w:pPr>
      <w:r>
        <w:t>Solution 3</w:t>
      </w:r>
    </w:p>
    <w:p>
      <w:r>
        <w:t>Include omitted settlements, suppress household identifiers, use participation and grievance channels, and prohibit punitive use.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