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Maintain First, Replace With Evidence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Prioritize infrastructure maintenance and replacement using condition, service criticality, failure probability, consequence, lifecycle cost, uncertainty, equity, and accountable asset authority.</w:t>
            </w:r>
          </w:p>
        </w:tc>
      </w:tr>
    </w:tbl>
    <w:p>
      <w:pPr>
        <w:pStyle w:val="Heading1"/>
      </w:pPr>
      <w:r>
        <w:t>Why it matters</w:t>
      </w:r>
    </w:p>
    <w:p>
      <w:r>
        <w:t>Replacing the most visible asset first can waste resources while less visible critical failures remain unaddressed.</w:t>
      </w:r>
    </w:p>
    <w:p>
      <w:pPr>
        <w:pStyle w:val="Heading1"/>
      </w:pPr>
      <w:r>
        <w:t>Illustrative application</w:t>
      </w:r>
    </w:p>
    <w:p>
      <w:r>
        <w:t>A municipality compares preventive maintenance, rehabilitation, and replacement scenarios for a deteriorating water asset.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V7_D_N06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