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Maintain First, Replace With Evidence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network dependencies.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preventive and reactive costs.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the safety boundary.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Model upstream/downstream consequences and single points of failure.</w:t>
      </w:r>
    </w:p>
    <w:p>
      <w:pPr>
        <w:pStyle w:val="Heading2"/>
      </w:pPr>
      <w:r>
        <w:t>Solution 2</w:t>
      </w:r>
    </w:p>
    <w:p>
      <w:r>
        <w:t>Use lifecycle cost, failure probability, service disruption, and uncertainty.</w:t>
      </w:r>
    </w:p>
    <w:p>
      <w:pPr>
        <w:pStyle w:val="Heading2"/>
      </w:pPr>
      <w:r>
        <w:t>Solution 3</w:t>
      </w:r>
    </w:p>
    <w:p>
      <w:r>
        <w:t>Only qualified inspectors and responsible authorities can certify, restrict use, procure, or authorize works.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V7_D_N06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